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67DB" w14:textId="37A75E57" w:rsidR="00D842C2" w:rsidRPr="006C662E" w:rsidRDefault="00F86C13" w:rsidP="001033CB">
      <w:pPr>
        <w:spacing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36"/>
          <w:szCs w:val="32"/>
        </w:rPr>
      </w:pPr>
      <w:r w:rsidRPr="006C662E">
        <w:rPr>
          <w:rFonts w:ascii="Times New Roman" w:eastAsia="標楷體" w:hAnsi="Times New Roman" w:cs="Times New Roman"/>
          <w:noProof/>
          <w:color w:val="000000" w:themeColor="text1"/>
          <w:sz w:val="36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C5CBEC2" wp14:editId="622182AD">
                <wp:simplePos x="0" y="0"/>
                <wp:positionH relativeFrom="column">
                  <wp:posOffset>-10160</wp:posOffset>
                </wp:positionH>
                <wp:positionV relativeFrom="page">
                  <wp:posOffset>514350</wp:posOffset>
                </wp:positionV>
                <wp:extent cx="752475" cy="328930"/>
                <wp:effectExtent l="0" t="0" r="28575" b="1397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C4DF1" w14:textId="0D138E2F" w:rsidR="00F86C13" w:rsidRPr="00347B89" w:rsidRDefault="00F86C13" w:rsidP="00F86C13">
                            <w:pPr>
                              <w:spacing w:line="36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347B89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>附件</w:t>
                            </w:r>
                            <w:r w:rsidRPr="00347B89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5CBEC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8pt;margin-top:40.5pt;width:59.25pt;height:25.9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">
                <v:textbox style="mso-fit-shape-to-text:t">
                  <w:txbxContent>
                    <w:p w14:paraId="668C4DF1" w14:textId="0D138E2F" w:rsidR="00F86C13" w:rsidRPr="00347B89" w:rsidRDefault="00F86C13" w:rsidP="00F86C13">
                      <w:pPr>
                        <w:spacing w:line="360" w:lineRule="exact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28"/>
                          <w:szCs w:val="24"/>
                        </w:rPr>
                      </w:pPr>
                      <w:r w:rsidRPr="00347B89">
                        <w:rPr>
                          <w:rFonts w:ascii="Times New Roman" w:eastAsia="標楷體" w:hAnsi="Times New Roman" w:cs="Times New Roman"/>
                          <w:b/>
                          <w:bCs/>
                          <w:sz w:val="28"/>
                          <w:szCs w:val="24"/>
                        </w:rPr>
                        <w:t>附件</w:t>
                      </w:r>
                      <w:r w:rsidRPr="00347B89">
                        <w:rPr>
                          <w:rFonts w:ascii="Times New Roman" w:eastAsia="標楷體" w:hAnsi="Times New Roman" w:cs="Times New Roman"/>
                          <w:b/>
                          <w:bCs/>
                          <w:sz w:val="28"/>
                          <w:szCs w:val="24"/>
                        </w:rPr>
                        <w:t>1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1033CB" w:rsidRPr="006C662E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中華民國證券商業同業公會</w:t>
      </w:r>
      <w:bookmarkStart w:id="0" w:name="_Hlk213753777"/>
      <w:r w:rsidR="0073648C" w:rsidRPr="006C662E">
        <w:rPr>
          <w:rFonts w:ascii="Times New Roman" w:eastAsia="標楷體" w:hAnsi="Times New Roman" w:cs="Times New Roman" w:hint="eastAsia"/>
          <w:color w:val="000000" w:themeColor="text1"/>
          <w:sz w:val="36"/>
          <w:szCs w:val="32"/>
        </w:rPr>
        <w:t>「</w:t>
      </w:r>
      <w:r w:rsidR="001033CB" w:rsidRPr="006C662E">
        <w:rPr>
          <w:rFonts w:ascii="Times New Roman" w:eastAsia="標楷體" w:hAnsi="Times New Roman" w:cs="Times New Roman"/>
          <w:color w:val="000000" w:themeColor="text1"/>
          <w:sz w:val="36"/>
          <w:szCs w:val="32"/>
        </w:rPr>
        <w:t>證券商承銷或再行銷售有價證券處理辦法</w:t>
      </w:r>
      <w:r w:rsidR="0073648C" w:rsidRPr="006C662E">
        <w:rPr>
          <w:rFonts w:ascii="Times New Roman" w:eastAsia="標楷體" w:hAnsi="Times New Roman" w:cs="Times New Roman" w:hint="eastAsia"/>
          <w:color w:val="000000" w:themeColor="text1"/>
          <w:sz w:val="36"/>
          <w:szCs w:val="32"/>
        </w:rPr>
        <w:t>」</w:t>
      </w:r>
      <w:r w:rsidR="00481FB5" w:rsidRPr="006C662E">
        <w:rPr>
          <w:rFonts w:ascii="Times New Roman" w:eastAsia="標楷體" w:hAnsi="Times New Roman" w:cs="Times New Roman" w:hint="eastAsia"/>
          <w:color w:val="000000" w:themeColor="text1"/>
          <w:sz w:val="36"/>
          <w:szCs w:val="32"/>
        </w:rPr>
        <w:t>第十三條</w:t>
      </w:r>
      <w:r w:rsidR="001033CB" w:rsidRPr="006C662E">
        <w:rPr>
          <w:rFonts w:ascii="Times New Roman" w:eastAsia="標楷體" w:hAnsi="Times New Roman" w:cs="Times New Roman" w:hint="eastAsia"/>
          <w:color w:val="000000" w:themeColor="text1"/>
          <w:sz w:val="36"/>
          <w:szCs w:val="32"/>
        </w:rPr>
        <w:t>修正條文對照表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6"/>
        <w:gridCol w:w="3116"/>
        <w:gridCol w:w="2064"/>
      </w:tblGrid>
      <w:tr w:rsidR="006751E6" w:rsidRPr="006C662E" w14:paraId="5FDF3BE1" w14:textId="77777777" w:rsidTr="001D76A0">
        <w:tc>
          <w:tcPr>
            <w:tcW w:w="3116" w:type="dxa"/>
          </w:tcPr>
          <w:p w14:paraId="1E7F392C" w14:textId="43AE6CA2" w:rsidR="00D842C2" w:rsidRPr="006C662E" w:rsidRDefault="003D2D1D" w:rsidP="006C662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修正條文</w:t>
            </w:r>
          </w:p>
        </w:tc>
        <w:tc>
          <w:tcPr>
            <w:tcW w:w="3116" w:type="dxa"/>
          </w:tcPr>
          <w:p w14:paraId="11C10196" w14:textId="41C78253" w:rsidR="00D842C2" w:rsidRPr="006C662E" w:rsidRDefault="003D2D1D" w:rsidP="006C662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現行條文</w:t>
            </w:r>
          </w:p>
        </w:tc>
        <w:tc>
          <w:tcPr>
            <w:tcW w:w="2064" w:type="dxa"/>
          </w:tcPr>
          <w:p w14:paraId="34669E9A" w14:textId="6AB53E8D" w:rsidR="00D842C2" w:rsidRPr="006C662E" w:rsidRDefault="003D2D1D" w:rsidP="006C662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說明</w:t>
            </w:r>
          </w:p>
        </w:tc>
      </w:tr>
      <w:tr w:rsidR="00C310C3" w:rsidRPr="006C662E" w14:paraId="33913617" w14:textId="77777777" w:rsidTr="001D76A0">
        <w:tc>
          <w:tcPr>
            <w:tcW w:w="3116" w:type="dxa"/>
          </w:tcPr>
          <w:p w14:paraId="583242FF" w14:textId="13FEEF0A" w:rsidR="00C310C3" w:rsidRPr="006C662E" w:rsidRDefault="00C310C3" w:rsidP="006C662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/>
                <w:color w:val="000000" w:themeColor="text1"/>
              </w:rPr>
              <w:t>第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十三</w:t>
            </w:r>
            <w:r w:rsidRPr="006C662E">
              <w:rPr>
                <w:rFonts w:ascii="Times New Roman" w:eastAsia="標楷體" w:hAnsi="Times New Roman" w:cs="Times New Roman"/>
                <w:color w:val="000000" w:themeColor="text1"/>
              </w:rPr>
              <w:t>條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6C662E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投標單有下列各款情事之</w:t>
            </w:r>
            <w:proofErr w:type="gramStart"/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一</w:t>
            </w:r>
            <w:proofErr w:type="gramEnd"/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者，為不合格件，該投標單不得參與競價，投標處理費不予退回：</w:t>
            </w:r>
          </w:p>
          <w:p w14:paraId="18C58BB4" w14:textId="4674D738" w:rsidR="00C310C3" w:rsidRPr="006C662E" w:rsidRDefault="00C310C3" w:rsidP="006C662E">
            <w:pPr>
              <w:spacing w:line="4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/>
                <w:color w:val="000000" w:themeColor="text1"/>
              </w:rPr>
              <w:t>一、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投標價格低於第八條第一項第二款所定之最低承銷價格者。</w:t>
            </w:r>
          </w:p>
          <w:p w14:paraId="6D8D36E1" w14:textId="77777777" w:rsidR="00C310C3" w:rsidRPr="006C662E" w:rsidRDefault="00C310C3" w:rsidP="006C662E">
            <w:pPr>
              <w:spacing w:line="4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二、投標數量低於最低每標單位或超過每一投標單最高投標數量者。</w:t>
            </w:r>
          </w:p>
          <w:p w14:paraId="5D7F424F" w14:textId="77777777" w:rsidR="00C310C3" w:rsidRPr="006C662E" w:rsidRDefault="00C310C3" w:rsidP="006C662E">
            <w:pPr>
              <w:spacing w:line="4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三、未繳足投標保證金及投標處理費者。</w:t>
            </w:r>
          </w:p>
          <w:p w14:paraId="761FB22E" w14:textId="77777777" w:rsidR="00C310C3" w:rsidRPr="006C662E" w:rsidRDefault="00C310C3" w:rsidP="006C662E">
            <w:pPr>
              <w:spacing w:line="4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四、未填妥交易帳號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(11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碼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，或資料不實者。</w:t>
            </w:r>
          </w:p>
          <w:p w14:paraId="3903749D" w14:textId="77777777" w:rsidR="00C310C3" w:rsidRPr="006C662E" w:rsidRDefault="00C310C3" w:rsidP="006C662E">
            <w:pPr>
              <w:spacing w:line="4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五、未填妥身分證字號或統一編號，或資料不實者。</w:t>
            </w:r>
          </w:p>
          <w:p w14:paraId="1B41187D" w14:textId="322A0C20" w:rsidR="00C310C3" w:rsidRPr="006C662E" w:rsidRDefault="00C310C3" w:rsidP="006C662E">
            <w:pPr>
              <w:spacing w:line="4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六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、未填妥股票代碼者。</w:t>
            </w:r>
          </w:p>
          <w:p w14:paraId="11EF22F2" w14:textId="10DCFCAE" w:rsidR="00C310C3" w:rsidRPr="006C662E" w:rsidRDefault="00C310C3" w:rsidP="006C662E">
            <w:pPr>
              <w:spacing w:line="4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七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、投標人身分牴觸第三十五條及第三十六條規定者。</w:t>
            </w:r>
          </w:p>
          <w:p w14:paraId="1E1C4A0D" w14:textId="3D6CBE5E" w:rsidR="00C310C3" w:rsidRPr="006C662E" w:rsidRDefault="00C310C3" w:rsidP="006C662E">
            <w:pPr>
              <w:spacing w:line="4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八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、未開立交易戶、款項劃撥銀行帳戶或有價證券保管劃撥帳戶者。</w:t>
            </w:r>
          </w:p>
          <w:p w14:paraId="3E5187AD" w14:textId="5F703CD2" w:rsidR="00C310C3" w:rsidRPr="006C662E" w:rsidRDefault="00C310C3" w:rsidP="006C662E">
            <w:pPr>
              <w:spacing w:line="4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九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、未與經紀商指定之往來</w:t>
            </w:r>
            <w:proofErr w:type="gramStart"/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銀行就競價</w:t>
            </w:r>
            <w:proofErr w:type="gramEnd"/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拍賣相關款項扣繳事宜簽訂委託契約者。</w:t>
            </w:r>
          </w:p>
          <w:p w14:paraId="58CEBF1A" w14:textId="6FDA314F" w:rsidR="00C310C3" w:rsidRPr="006C662E" w:rsidRDefault="00C310C3" w:rsidP="006C662E">
            <w:pPr>
              <w:spacing w:line="4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十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、投標人款項劃撥銀行帳戶之存款餘額，低於所投標有價證券保證金、投標處理費之合計金額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lastRenderedPageBreak/>
              <w:t>者。</w:t>
            </w:r>
          </w:p>
          <w:p w14:paraId="3A9F2C76" w14:textId="1455BF0D" w:rsidR="008701DB" w:rsidRPr="006C662E" w:rsidRDefault="008701DB" w:rsidP="006C662E">
            <w:pPr>
              <w:spacing w:line="4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>十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一</w:t>
            </w:r>
            <w:r w:rsidRPr="006C662E">
              <w:rPr>
                <w:rFonts w:ascii="Times New Roman" w:eastAsia="標楷體" w:hAnsi="Times New Roman" w:cs="Times New Roman"/>
                <w:color w:val="000000" w:themeColor="text1"/>
              </w:rPr>
              <w:t>、利用或冒用他人名義投標者</w:t>
            </w:r>
            <w:r w:rsidRPr="006C662E">
              <w:rPr>
                <w:rFonts w:ascii="Segoe UI" w:eastAsia="新細明體" w:hAnsi="Segoe UI" w:cs="Segoe UI"/>
                <w:color w:val="333333"/>
                <w:kern w:val="0"/>
              </w:rPr>
              <w:t>。</w:t>
            </w:r>
          </w:p>
          <w:p w14:paraId="24F76693" w14:textId="70C70C36" w:rsidR="00C310C3" w:rsidRPr="006C662E" w:rsidRDefault="00C310C3" w:rsidP="006C662E">
            <w:pPr>
              <w:spacing w:beforeLines="50" w:before="180" w:line="400" w:lineRule="exact"/>
              <w:ind w:firstLineChars="200" w:firstLine="48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每股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或每張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投標價格最小單位至分為止，分以下</w:t>
            </w:r>
            <w:proofErr w:type="gramStart"/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採</w:t>
            </w:r>
            <w:proofErr w:type="gramEnd"/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四捨五入。可轉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交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換公司債之投標價格一律以百元價格計算。</w:t>
            </w:r>
          </w:p>
          <w:p w14:paraId="120920F3" w14:textId="0CC89F58" w:rsidR="00C310C3" w:rsidRPr="006C662E" w:rsidRDefault="00C310C3" w:rsidP="006C662E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投標數量以一千股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或一張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之整倍數為投標單位。</w:t>
            </w:r>
          </w:p>
        </w:tc>
        <w:tc>
          <w:tcPr>
            <w:tcW w:w="3116" w:type="dxa"/>
          </w:tcPr>
          <w:p w14:paraId="3F26C005" w14:textId="77777777" w:rsidR="00C310C3" w:rsidRPr="006C662E" w:rsidRDefault="00C310C3" w:rsidP="006C662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第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十三</w:t>
            </w:r>
            <w:r w:rsidRPr="006C662E">
              <w:rPr>
                <w:rFonts w:ascii="Times New Roman" w:eastAsia="標楷體" w:hAnsi="Times New Roman" w:cs="Times New Roman"/>
                <w:color w:val="000000" w:themeColor="text1"/>
              </w:rPr>
              <w:t>條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6C662E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投標單有下列各款情事之</w:t>
            </w:r>
            <w:proofErr w:type="gramStart"/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一</w:t>
            </w:r>
            <w:proofErr w:type="gramEnd"/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者，為不合格件，該投標單不得參與競價，投標處理費不予退回：</w:t>
            </w:r>
          </w:p>
          <w:p w14:paraId="4CA161BF" w14:textId="77777777" w:rsidR="00C310C3" w:rsidRPr="006C662E" w:rsidRDefault="00C310C3" w:rsidP="006C662E">
            <w:pPr>
              <w:spacing w:line="4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/>
                <w:color w:val="000000" w:themeColor="text1"/>
              </w:rPr>
              <w:t>一、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投標價格低於第八條第一項第二款所定之最低承銷價格者。</w:t>
            </w:r>
          </w:p>
          <w:p w14:paraId="662FC5BC" w14:textId="77777777" w:rsidR="00C310C3" w:rsidRPr="006C662E" w:rsidRDefault="00C310C3" w:rsidP="006C662E">
            <w:pPr>
              <w:spacing w:line="4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二、投標數量低於最低每標單位或超過每一投標單最高投標數量者。</w:t>
            </w:r>
          </w:p>
          <w:p w14:paraId="51C1A5F9" w14:textId="77777777" w:rsidR="00C310C3" w:rsidRPr="006C662E" w:rsidRDefault="00C310C3" w:rsidP="006C662E">
            <w:pPr>
              <w:spacing w:line="4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三、未繳足投標保證金及投標處理費者。</w:t>
            </w:r>
          </w:p>
          <w:p w14:paraId="0D0911C9" w14:textId="77777777" w:rsidR="00C310C3" w:rsidRPr="006C662E" w:rsidRDefault="00C310C3" w:rsidP="006C662E">
            <w:pPr>
              <w:spacing w:line="4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四、未填妥交易帳號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(11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碼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，或資料不實者。</w:t>
            </w:r>
          </w:p>
          <w:p w14:paraId="2FFBF4B5" w14:textId="77777777" w:rsidR="00C310C3" w:rsidRPr="006C662E" w:rsidRDefault="00C310C3" w:rsidP="006C662E">
            <w:pPr>
              <w:spacing w:line="4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五、未填妥身分證字號或統一編號，或資料不實者。</w:t>
            </w:r>
          </w:p>
          <w:p w14:paraId="6FE78F6E" w14:textId="77777777" w:rsidR="00C310C3" w:rsidRPr="006C662E" w:rsidRDefault="00C310C3" w:rsidP="006C662E">
            <w:pPr>
              <w:spacing w:line="4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</w:pP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六、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自然人未填妥出生年月日，或資料不實者。</w:t>
            </w:r>
          </w:p>
          <w:p w14:paraId="21765A56" w14:textId="77777777" w:rsidR="00C310C3" w:rsidRPr="006C662E" w:rsidRDefault="00C310C3" w:rsidP="006C662E">
            <w:pPr>
              <w:spacing w:line="4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七、未填妥股票代碼者。</w:t>
            </w:r>
          </w:p>
          <w:p w14:paraId="547453F5" w14:textId="77777777" w:rsidR="00C310C3" w:rsidRPr="006C662E" w:rsidRDefault="00C310C3" w:rsidP="006C662E">
            <w:pPr>
              <w:spacing w:line="4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八、投標人身分牴觸第三十五條及第三十六條規定者。</w:t>
            </w:r>
          </w:p>
          <w:p w14:paraId="0DC5B91F" w14:textId="77777777" w:rsidR="00C310C3" w:rsidRPr="006C662E" w:rsidRDefault="00C310C3" w:rsidP="006C662E">
            <w:pPr>
              <w:spacing w:line="4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九、未開立交易戶、款項劃撥銀行帳戶或有價證券保管劃撥帳戶者。</w:t>
            </w:r>
          </w:p>
          <w:p w14:paraId="755B88F0" w14:textId="77777777" w:rsidR="00C310C3" w:rsidRPr="006C662E" w:rsidRDefault="00C310C3" w:rsidP="006C662E">
            <w:pPr>
              <w:spacing w:line="4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十、未與經紀商指定之往來</w:t>
            </w:r>
            <w:proofErr w:type="gramStart"/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銀行就競價</w:t>
            </w:r>
            <w:proofErr w:type="gramEnd"/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拍賣相關款項扣繳事宜簽訂委託契約者。</w:t>
            </w:r>
          </w:p>
          <w:p w14:paraId="53A1659C" w14:textId="77777777" w:rsidR="00C310C3" w:rsidRPr="006C662E" w:rsidRDefault="00C310C3" w:rsidP="006C662E">
            <w:pPr>
              <w:spacing w:line="4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十一、投標人款項劃撥銀行帳戶之存款餘額，低於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lastRenderedPageBreak/>
              <w:t>所投標有價證券保證金、投標處理費之合計金額者。</w:t>
            </w:r>
          </w:p>
          <w:p w14:paraId="7D380DD2" w14:textId="077974C0" w:rsidR="008701DB" w:rsidRPr="006C662E" w:rsidRDefault="008701DB" w:rsidP="006C662E">
            <w:pPr>
              <w:spacing w:line="4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/>
                <w:color w:val="000000" w:themeColor="text1"/>
              </w:rPr>
              <w:t>十二、利用或冒用他人名義投標者。</w:t>
            </w:r>
          </w:p>
          <w:p w14:paraId="71C3E66A" w14:textId="77777777" w:rsidR="00C310C3" w:rsidRPr="006C662E" w:rsidRDefault="00C310C3" w:rsidP="006C662E">
            <w:pPr>
              <w:spacing w:beforeLines="50" w:before="180" w:line="400" w:lineRule="exact"/>
              <w:ind w:firstLineChars="200" w:firstLine="48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每股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或每張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投標價格最小單位至分為止，分以下</w:t>
            </w:r>
            <w:proofErr w:type="gramStart"/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採</w:t>
            </w:r>
            <w:proofErr w:type="gramEnd"/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四捨五入。可轉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交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換公司債之投標價格一律以百元價格計算。</w:t>
            </w:r>
          </w:p>
          <w:p w14:paraId="0341C793" w14:textId="377F5963" w:rsidR="00C310C3" w:rsidRPr="006C662E" w:rsidRDefault="00C310C3" w:rsidP="006C662E">
            <w:pPr>
              <w:spacing w:line="400" w:lineRule="exact"/>
              <w:ind w:firstLineChars="200" w:firstLine="48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投標數量以一千股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或一張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之整倍數為投標單位。</w:t>
            </w:r>
          </w:p>
        </w:tc>
        <w:tc>
          <w:tcPr>
            <w:tcW w:w="2064" w:type="dxa"/>
          </w:tcPr>
          <w:p w14:paraId="3F8CD288" w14:textId="67C2F16F" w:rsidR="00F1753F" w:rsidRPr="006C662E" w:rsidRDefault="00481FB5" w:rsidP="006C662E">
            <w:pPr>
              <w:pStyle w:val="a5"/>
              <w:numPr>
                <w:ilvl w:val="0"/>
                <w:numId w:val="9"/>
              </w:numPr>
              <w:spacing w:line="400" w:lineRule="exact"/>
              <w:ind w:leftChars="0" w:left="454" w:hanging="4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lastRenderedPageBreak/>
              <w:t>為避免投資人投標時因誤選出生年月日，</w:t>
            </w:r>
            <w:r w:rsidR="00AC3F88"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造成該投標單為不合</w:t>
            </w:r>
            <w:r w:rsidR="00F86C13"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格</w:t>
            </w:r>
            <w:r w:rsidR="00AC3F88"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件之情事，並維持現行由集保</w:t>
            </w:r>
            <w:r w:rsidR="00F86C13"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結算所</w:t>
            </w:r>
            <w:r w:rsidR="00AC3F88"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檢核</w:t>
            </w:r>
            <w:r w:rsidR="00F86C13"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自然人</w:t>
            </w:r>
            <w:r w:rsidR="00AC3F88"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是否成年</w:t>
            </w:r>
            <w:r w:rsidR="00F86C13"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之條件</w:t>
            </w:r>
            <w:r w:rsidR="00A30E4A"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，</w:t>
            </w:r>
            <w:proofErr w:type="gramStart"/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爰</w:t>
            </w:r>
            <w:proofErr w:type="gramEnd"/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刪除</w:t>
            </w:r>
            <w:r w:rsidR="00AC3F88"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第六款有關投資人</w:t>
            </w:r>
            <w:r w:rsidR="00F86C13"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於</w:t>
            </w:r>
            <w:proofErr w:type="gramStart"/>
            <w:r w:rsidR="00F86C13"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投標單</w:t>
            </w:r>
            <w:r w:rsidR="00AC3F88"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未填</w:t>
            </w:r>
            <w:proofErr w:type="gramEnd"/>
            <w:r w:rsidR="00AC3F88"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妥出生年月日或資料不實者為不合格之規</w:t>
            </w:r>
            <w:r w:rsidR="00F1753F"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定。</w:t>
            </w:r>
          </w:p>
          <w:p w14:paraId="0D91F5D9" w14:textId="364FDC51" w:rsidR="00C310C3" w:rsidRPr="006C662E" w:rsidRDefault="00AC3F88" w:rsidP="006C662E">
            <w:pPr>
              <w:pStyle w:val="a5"/>
              <w:numPr>
                <w:ilvl w:val="0"/>
                <w:numId w:val="9"/>
              </w:numPr>
              <w:spacing w:line="400" w:lineRule="exact"/>
              <w:ind w:leftChars="0" w:left="454" w:hanging="4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現行</w:t>
            </w:r>
            <w:r w:rsidR="00481FB5"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第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七</w:t>
            </w:r>
            <w:r w:rsidR="00481FB5"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款至第十</w:t>
            </w:r>
            <w:r w:rsidR="00F86C13"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二</w:t>
            </w:r>
            <w:r w:rsidR="00481FB5"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款移列第</w:t>
            </w:r>
            <w:r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六</w:t>
            </w:r>
            <w:r w:rsidR="00481FB5"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款至第十</w:t>
            </w:r>
            <w:r w:rsidR="008701DB"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一</w:t>
            </w:r>
            <w:r w:rsidR="00481FB5" w:rsidRPr="006C662E">
              <w:rPr>
                <w:rFonts w:ascii="Times New Roman" w:eastAsia="標楷體" w:hAnsi="Times New Roman" w:cs="Times New Roman" w:hint="eastAsia"/>
                <w:color w:val="000000" w:themeColor="text1"/>
              </w:rPr>
              <w:t>款。</w:t>
            </w:r>
          </w:p>
        </w:tc>
      </w:tr>
    </w:tbl>
    <w:p w14:paraId="0CEDE1C8" w14:textId="77777777" w:rsidR="00D842C2" w:rsidRPr="006751E6" w:rsidRDefault="00D842C2">
      <w:pPr>
        <w:rPr>
          <w:color w:val="000000" w:themeColor="text1"/>
        </w:rPr>
      </w:pPr>
    </w:p>
    <w:sectPr w:rsidR="00D842C2" w:rsidRPr="006751E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C35DB" w14:textId="77777777" w:rsidR="00610A1D" w:rsidRDefault="00610A1D" w:rsidP="001033CB">
      <w:r>
        <w:separator/>
      </w:r>
    </w:p>
  </w:endnote>
  <w:endnote w:type="continuationSeparator" w:id="0">
    <w:p w14:paraId="09C98417" w14:textId="77777777" w:rsidR="00610A1D" w:rsidRDefault="00610A1D" w:rsidP="0010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7681977"/>
      <w:docPartObj>
        <w:docPartGallery w:val="Page Numbers (Bottom of Page)"/>
        <w:docPartUnique/>
      </w:docPartObj>
    </w:sdtPr>
    <w:sdtContent>
      <w:p w14:paraId="1A59759F" w14:textId="1A1C58AF" w:rsidR="001E0837" w:rsidRDefault="001E08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1B46CDA" w14:textId="77777777" w:rsidR="001033CB" w:rsidRDefault="001033C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894A2" w14:textId="77777777" w:rsidR="00610A1D" w:rsidRDefault="00610A1D" w:rsidP="001033CB">
      <w:r>
        <w:separator/>
      </w:r>
    </w:p>
  </w:footnote>
  <w:footnote w:type="continuationSeparator" w:id="0">
    <w:p w14:paraId="5A72D7F1" w14:textId="77777777" w:rsidR="00610A1D" w:rsidRDefault="00610A1D" w:rsidP="00103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3B6"/>
    <w:multiLevelType w:val="multilevel"/>
    <w:tmpl w:val="9E825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92CBC"/>
    <w:multiLevelType w:val="hybridMultilevel"/>
    <w:tmpl w:val="168E9B66"/>
    <w:lvl w:ilvl="0" w:tplc="9BE63F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244D20"/>
    <w:multiLevelType w:val="multilevel"/>
    <w:tmpl w:val="26FC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D5088C"/>
    <w:multiLevelType w:val="multilevel"/>
    <w:tmpl w:val="26D0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B3778"/>
    <w:multiLevelType w:val="multilevel"/>
    <w:tmpl w:val="6760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322DA7"/>
    <w:multiLevelType w:val="hybridMultilevel"/>
    <w:tmpl w:val="003A138E"/>
    <w:lvl w:ilvl="0" w:tplc="B40CD5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641769"/>
    <w:multiLevelType w:val="hybridMultilevel"/>
    <w:tmpl w:val="07B2B802"/>
    <w:lvl w:ilvl="0" w:tplc="3642D8E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C6E3723"/>
    <w:multiLevelType w:val="multilevel"/>
    <w:tmpl w:val="16700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04315E"/>
    <w:multiLevelType w:val="multilevel"/>
    <w:tmpl w:val="60365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005717">
    <w:abstractNumId w:val="2"/>
  </w:num>
  <w:num w:numId="2" w16cid:durableId="1509641416">
    <w:abstractNumId w:val="0"/>
  </w:num>
  <w:num w:numId="3" w16cid:durableId="1195851570">
    <w:abstractNumId w:val="7"/>
  </w:num>
  <w:num w:numId="4" w16cid:durableId="470558718">
    <w:abstractNumId w:val="8"/>
  </w:num>
  <w:num w:numId="5" w16cid:durableId="1998916770">
    <w:abstractNumId w:val="1"/>
  </w:num>
  <w:num w:numId="6" w16cid:durableId="1740249161">
    <w:abstractNumId w:val="5"/>
  </w:num>
  <w:num w:numId="7" w16cid:durableId="1077363559">
    <w:abstractNumId w:val="3"/>
  </w:num>
  <w:num w:numId="8" w16cid:durableId="217865640">
    <w:abstractNumId w:val="4"/>
  </w:num>
  <w:num w:numId="9" w16cid:durableId="6266604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C2"/>
    <w:rsid w:val="00000D09"/>
    <w:rsid w:val="00001125"/>
    <w:rsid w:val="00072B3C"/>
    <w:rsid w:val="00084EF8"/>
    <w:rsid w:val="000B40F9"/>
    <w:rsid w:val="001033CB"/>
    <w:rsid w:val="0018442B"/>
    <w:rsid w:val="001C489D"/>
    <w:rsid w:val="001D76A0"/>
    <w:rsid w:val="001E0837"/>
    <w:rsid w:val="00273734"/>
    <w:rsid w:val="00277F55"/>
    <w:rsid w:val="00280755"/>
    <w:rsid w:val="00325B0C"/>
    <w:rsid w:val="00347B89"/>
    <w:rsid w:val="003D2D1D"/>
    <w:rsid w:val="00416A77"/>
    <w:rsid w:val="00481FB5"/>
    <w:rsid w:val="0049708D"/>
    <w:rsid w:val="00513805"/>
    <w:rsid w:val="0052018E"/>
    <w:rsid w:val="005365A4"/>
    <w:rsid w:val="00541B38"/>
    <w:rsid w:val="00567558"/>
    <w:rsid w:val="005D7421"/>
    <w:rsid w:val="005D7A47"/>
    <w:rsid w:val="00604580"/>
    <w:rsid w:val="00610A1D"/>
    <w:rsid w:val="006203AB"/>
    <w:rsid w:val="0067115C"/>
    <w:rsid w:val="006751E6"/>
    <w:rsid w:val="006C662E"/>
    <w:rsid w:val="0073648C"/>
    <w:rsid w:val="007512A4"/>
    <w:rsid w:val="00751BCD"/>
    <w:rsid w:val="007E50FF"/>
    <w:rsid w:val="00815EDA"/>
    <w:rsid w:val="00852861"/>
    <w:rsid w:val="008701DB"/>
    <w:rsid w:val="008B2D2D"/>
    <w:rsid w:val="0094657F"/>
    <w:rsid w:val="0097772F"/>
    <w:rsid w:val="009828FD"/>
    <w:rsid w:val="009A06CF"/>
    <w:rsid w:val="009D0F3C"/>
    <w:rsid w:val="00A30E4A"/>
    <w:rsid w:val="00A5141D"/>
    <w:rsid w:val="00A60AB6"/>
    <w:rsid w:val="00A657C6"/>
    <w:rsid w:val="00A77353"/>
    <w:rsid w:val="00AB51DA"/>
    <w:rsid w:val="00AC3F88"/>
    <w:rsid w:val="00AD4299"/>
    <w:rsid w:val="00B50063"/>
    <w:rsid w:val="00B51C0E"/>
    <w:rsid w:val="00BC532D"/>
    <w:rsid w:val="00C310C3"/>
    <w:rsid w:val="00D00550"/>
    <w:rsid w:val="00D36EFE"/>
    <w:rsid w:val="00D842C2"/>
    <w:rsid w:val="00D94AA6"/>
    <w:rsid w:val="00DA0D10"/>
    <w:rsid w:val="00DF30E5"/>
    <w:rsid w:val="00E11B11"/>
    <w:rsid w:val="00E42407"/>
    <w:rsid w:val="00E5710E"/>
    <w:rsid w:val="00E938FE"/>
    <w:rsid w:val="00ED01AE"/>
    <w:rsid w:val="00F11458"/>
    <w:rsid w:val="00F1753F"/>
    <w:rsid w:val="00F2035F"/>
    <w:rsid w:val="00F8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E35BB"/>
  <w15:chartTrackingRefBased/>
  <w15:docId w15:val="{F01A039D-649D-4965-BAD9-688ED062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11B1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5006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03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33C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3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33CB"/>
    <w:rPr>
      <w:sz w:val="20"/>
      <w:szCs w:val="20"/>
    </w:rPr>
  </w:style>
  <w:style w:type="paragraph" w:customStyle="1" w:styleId="Default">
    <w:name w:val="Default"/>
    <w:rsid w:val="00481FB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鍾韻琳</dc:creator>
  <cp:keywords/>
  <dc:description/>
  <cp:lastModifiedBy>鍾韻琳</cp:lastModifiedBy>
  <cp:revision>9</cp:revision>
  <cp:lastPrinted>2025-11-14T03:11:00Z</cp:lastPrinted>
  <dcterms:created xsi:type="dcterms:W3CDTF">2026-04-27T01:03:00Z</dcterms:created>
  <dcterms:modified xsi:type="dcterms:W3CDTF">2026-06-18T02:08:00Z</dcterms:modified>
</cp:coreProperties>
</file>